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9"/>
        </w:rPr>
      </w:pPr>
    </w:p>
    <w:p>
      <w:pPr>
        <w:spacing w:line="500" w:lineRule="atLeast"/>
        <w:jc w:val="center"/>
        <w:rPr>
          <w:rFonts w:hint="eastAsia" w:ascii="Antique Olive Compact" w:hAnsi="Antique Olive Compact" w:eastAsia="华文行楷"/>
          <w:spacing w:val="6"/>
          <w:sz w:val="72"/>
        </w:rPr>
      </w:pPr>
      <w:r>
        <w:rPr>
          <w:rFonts w:hint="eastAsia" w:eastAsia="华文行楷"/>
          <w:spacing w:val="6"/>
          <w:sz w:val="72"/>
        </w:rPr>
        <w:t>西南大学</w:t>
      </w:r>
    </w:p>
    <w:p>
      <w:pPr>
        <w:spacing w:before="120" w:after="120" w:line="500" w:lineRule="atLeast"/>
        <w:jc w:val="center"/>
        <w:rPr>
          <w:rFonts w:hint="eastAsia" w:eastAsia="汉仪大黑简"/>
          <w:sz w:val="48"/>
          <w:szCs w:val="48"/>
        </w:rPr>
      </w:pPr>
      <w:r>
        <w:rPr>
          <w:rFonts w:hint="eastAsia" w:eastAsia="汉仪大黑简"/>
          <w:sz w:val="48"/>
          <w:szCs w:val="48"/>
        </w:rPr>
        <w:t>项目制硕士专业学位研究生培养方案</w:t>
      </w:r>
    </w:p>
    <w:p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(适用于2016级)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7"/>
        <w:tblW w:w="62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38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66" w:type="dxa"/>
            <w:vAlign w:val="bottom"/>
          </w:tcPr>
          <w:p>
            <w:pPr>
              <w:snapToGrid w:val="0"/>
              <w:ind w:left="-57" w:right="-57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 目 名 称</w:t>
            </w:r>
          </w:p>
        </w:tc>
        <w:tc>
          <w:tcPr>
            <w:tcW w:w="3885" w:type="dxa"/>
            <w:tcBorders>
              <w:bottom w:val="single" w:color="auto" w:sz="4" w:space="0"/>
            </w:tcBorders>
            <w:vAlign w:val="bottom"/>
          </w:tcPr>
          <w:p>
            <w:pPr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西南大学顺德“智能产业工程师计划”联合培养项目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66" w:type="dxa"/>
            <w:vAlign w:val="bottom"/>
          </w:tcPr>
          <w:p>
            <w:pPr>
              <w:snapToGrid w:val="0"/>
              <w:ind w:left="-57" w:right="-57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学位类别名称</w:t>
            </w:r>
          </w:p>
        </w:tc>
        <w:tc>
          <w:tcPr>
            <w:tcW w:w="388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66" w:type="dxa"/>
            <w:vAlign w:val="bottom"/>
          </w:tcPr>
          <w:p>
            <w:pPr>
              <w:snapToGrid w:val="0"/>
              <w:ind w:left="-57" w:right="-57"/>
              <w:jc w:val="distribute"/>
              <w:rPr>
                <w:sz w:val="28"/>
                <w:szCs w:val="28"/>
              </w:rPr>
            </w:pPr>
          </w:p>
          <w:p>
            <w:pPr>
              <w:snapToGrid w:val="0"/>
              <w:ind w:left="-57" w:right="-57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学位类别代码</w:t>
            </w:r>
          </w:p>
        </w:tc>
        <w:tc>
          <w:tcPr>
            <w:tcW w:w="388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66" w:type="dxa"/>
            <w:vAlign w:val="bottom"/>
          </w:tcPr>
          <w:p>
            <w:pPr>
              <w:snapToGrid w:val="0"/>
              <w:ind w:left="-57" w:right="-57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适用领域</w:t>
            </w:r>
          </w:p>
        </w:tc>
        <w:tc>
          <w:tcPr>
            <w:tcW w:w="388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电子与通信工程</w:t>
            </w:r>
            <w:r>
              <w:rPr>
                <w:rFonts w:hint="eastAsia"/>
                <w:sz w:val="28"/>
                <w:szCs w:val="28"/>
              </w:rPr>
              <w:t>(085208)</w:t>
            </w: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计算机技术(085211)</w:t>
            </w: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软件工程(085212)</w:t>
            </w:r>
          </w:p>
        </w:tc>
      </w:tr>
    </w:tbl>
    <w:p>
      <w:pPr>
        <w:ind w:firstLine="1736"/>
        <w:rPr>
          <w:rFonts w:hint="eastAsia"/>
          <w:sz w:val="25"/>
        </w:rPr>
      </w:pPr>
    </w:p>
    <w:p>
      <w:pPr>
        <w:rPr>
          <w:rFonts w:hint="eastAsia"/>
          <w:sz w:val="25"/>
        </w:rPr>
      </w:pPr>
    </w:p>
    <w:p>
      <w:pPr>
        <w:rPr>
          <w:rFonts w:hint="eastAsia"/>
          <w:sz w:val="25"/>
        </w:rPr>
      </w:pPr>
    </w:p>
    <w:p>
      <w:pPr>
        <w:rPr>
          <w:rFonts w:hint="eastAsia"/>
          <w:sz w:val="25"/>
        </w:rPr>
      </w:pPr>
    </w:p>
    <w:p>
      <w:pPr>
        <w:rPr>
          <w:rFonts w:hint="eastAsia"/>
          <w:sz w:val="25"/>
        </w:rPr>
      </w:pPr>
    </w:p>
    <w:p>
      <w:pPr>
        <w:rPr>
          <w:rFonts w:hint="eastAsia"/>
          <w:sz w:val="25"/>
        </w:rPr>
      </w:pPr>
    </w:p>
    <w:p>
      <w:pPr>
        <w:rPr>
          <w:rFonts w:hint="eastAsia"/>
          <w:sz w:val="25"/>
        </w:rPr>
      </w:pPr>
    </w:p>
    <w:p>
      <w:pPr>
        <w:rPr>
          <w:rFonts w:hint="eastAsia"/>
          <w:sz w:val="25"/>
        </w:rPr>
      </w:pPr>
    </w:p>
    <w:p>
      <w:pPr>
        <w:rPr>
          <w:rFonts w:hint="eastAsia"/>
          <w:sz w:val="25"/>
        </w:rPr>
      </w:pPr>
    </w:p>
    <w:p>
      <w:pPr>
        <w:rPr>
          <w:rFonts w:hint="eastAsia"/>
          <w:sz w:val="25"/>
        </w:rPr>
      </w:pPr>
    </w:p>
    <w:p>
      <w:pPr>
        <w:jc w:val="center"/>
        <w:rPr>
          <w:rFonts w:hint="eastAsia"/>
          <w:sz w:val="25"/>
        </w:rPr>
      </w:pPr>
      <w:r>
        <w:rPr>
          <w:rFonts w:hint="eastAsia"/>
          <w:sz w:val="25"/>
        </w:rPr>
        <w:t>西南大学研究生院</w:t>
      </w:r>
    </w:p>
    <w:p>
      <w:pPr>
        <w:jc w:val="center"/>
        <w:rPr>
          <w:rFonts w:hint="eastAsia"/>
          <w:sz w:val="25"/>
        </w:rPr>
      </w:pPr>
      <w:r>
        <w:rPr>
          <w:rFonts w:hint="eastAsia"/>
          <w:sz w:val="25"/>
        </w:rPr>
        <w:t>填表日期：</w:t>
      </w:r>
      <w:r>
        <w:rPr>
          <w:rFonts w:hint="eastAsia"/>
          <w:sz w:val="25"/>
          <w:lang w:val="en-US" w:eastAsia="zh-CN"/>
        </w:rPr>
        <w:t>2016</w:t>
      </w:r>
      <w:r>
        <w:rPr>
          <w:rFonts w:hint="eastAsia"/>
          <w:sz w:val="25"/>
        </w:rPr>
        <w:t>年</w:t>
      </w:r>
      <w:r>
        <w:rPr>
          <w:rFonts w:hint="eastAsia"/>
          <w:sz w:val="25"/>
          <w:lang w:val="en-US" w:eastAsia="zh-CN"/>
        </w:rPr>
        <w:t>9</w:t>
      </w:r>
      <w:r>
        <w:rPr>
          <w:rFonts w:hint="eastAsia"/>
          <w:sz w:val="25"/>
        </w:rPr>
        <w:t>月</w:t>
      </w:r>
      <w:r>
        <w:rPr>
          <w:rFonts w:hint="eastAsia"/>
          <w:sz w:val="25"/>
          <w:lang w:val="en-US" w:eastAsia="zh-CN"/>
        </w:rPr>
        <w:t>1</w:t>
      </w:r>
      <w:r>
        <w:rPr>
          <w:rFonts w:hint="eastAsia"/>
          <w:sz w:val="25"/>
        </w:rPr>
        <w:t>日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br w:type="page"/>
      </w:r>
    </w:p>
    <w:p>
      <w:pPr>
        <w:spacing w:beforeLines="50" w:afterLines="50"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一、培养目标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依托广东顺德区智能装备、智能家电和生命科学仪器等产业发展需求，面向嵌入式系统工程师、软件工程师、用户体验工程师职业方向，培养一批掌握扎实的现代电子信息技术专业和软件开发基础知识，具备创新思维和较强实践能力，具有良好职业素养，多领域融合的高层次、应用型工程技术人才。</w:t>
      </w:r>
    </w:p>
    <w:p>
      <w:pPr>
        <w:spacing w:beforeLines="50" w:afterLines="50"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二、学习方式及年限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学习方式为全日制，学制两年，学习期限2-5年。</w:t>
      </w:r>
    </w:p>
    <w:p>
      <w:pPr>
        <w:spacing w:beforeLines="50" w:afterLines="50"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三、课程学习及必修环节</w:t>
      </w:r>
    </w:p>
    <w:p>
      <w:pPr>
        <w:spacing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攻读本专业学位的研究生必须完成以下课程的学习和必修环节，总学分应不少于26学分。</w:t>
      </w:r>
    </w:p>
    <w:p>
      <w:pPr>
        <w:spacing w:line="400" w:lineRule="exact"/>
        <w:rPr>
          <w:rFonts w:hint="eastAsia" w:ascii="仿宋_GB2312" w:eastAsia="仿宋_GB2312"/>
          <w:b/>
          <w:sz w:val="28"/>
          <w:szCs w:val="28"/>
        </w:rPr>
      </w:pPr>
    </w:p>
    <w:tbl>
      <w:tblPr>
        <w:tblStyle w:val="17"/>
        <w:tblW w:w="102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84"/>
        <w:gridCol w:w="2496"/>
        <w:gridCol w:w="591"/>
        <w:gridCol w:w="505"/>
        <w:gridCol w:w="764"/>
        <w:gridCol w:w="1140"/>
        <w:gridCol w:w="719"/>
        <w:gridCol w:w="764"/>
        <w:gridCol w:w="796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课程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类型</w:t>
            </w:r>
          </w:p>
        </w:tc>
        <w:tc>
          <w:tcPr>
            <w:tcW w:w="884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课程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编号</w:t>
            </w:r>
          </w:p>
        </w:tc>
        <w:tc>
          <w:tcPr>
            <w:tcW w:w="2496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课程名称</w:t>
            </w:r>
          </w:p>
        </w:tc>
        <w:tc>
          <w:tcPr>
            <w:tcW w:w="591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学时</w:t>
            </w:r>
          </w:p>
        </w:tc>
        <w:tc>
          <w:tcPr>
            <w:tcW w:w="505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学分</w:t>
            </w:r>
          </w:p>
        </w:tc>
        <w:tc>
          <w:tcPr>
            <w:tcW w:w="764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开课学期</w:t>
            </w:r>
          </w:p>
        </w:tc>
        <w:tc>
          <w:tcPr>
            <w:tcW w:w="1140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开课单位</w:t>
            </w:r>
          </w:p>
        </w:tc>
        <w:tc>
          <w:tcPr>
            <w:tcW w:w="719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授课地点</w:t>
            </w:r>
          </w:p>
        </w:tc>
        <w:tc>
          <w:tcPr>
            <w:tcW w:w="764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考核要求</w:t>
            </w:r>
          </w:p>
        </w:tc>
        <w:tc>
          <w:tcPr>
            <w:tcW w:w="796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是否学位课</w:t>
            </w: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724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适用岗位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公共基础课</w:t>
            </w:r>
          </w:p>
        </w:tc>
        <w:tc>
          <w:tcPr>
            <w:tcW w:w="88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11085200001</w:t>
            </w:r>
          </w:p>
        </w:tc>
        <w:tc>
          <w:tcPr>
            <w:tcW w:w="249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外语 </w:t>
            </w:r>
          </w:p>
        </w:tc>
        <w:tc>
          <w:tcPr>
            <w:tcW w:w="591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西南大学</w:t>
            </w: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重庆北碚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考试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是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11085200002</w:t>
            </w:r>
          </w:p>
        </w:tc>
        <w:tc>
          <w:tcPr>
            <w:tcW w:w="249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政治理论课</w:t>
            </w:r>
          </w:p>
        </w:tc>
        <w:tc>
          <w:tcPr>
            <w:tcW w:w="591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05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重庆北碚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考试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是</w:t>
            </w:r>
          </w:p>
        </w:tc>
        <w:tc>
          <w:tcPr>
            <w:tcW w:w="724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11085200003</w:t>
            </w:r>
          </w:p>
        </w:tc>
        <w:tc>
          <w:tcPr>
            <w:tcW w:w="249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工程数学</w:t>
            </w:r>
          </w:p>
        </w:tc>
        <w:tc>
          <w:tcPr>
            <w:tcW w:w="591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05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重庆北碚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考试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是</w:t>
            </w:r>
          </w:p>
        </w:tc>
        <w:tc>
          <w:tcPr>
            <w:tcW w:w="724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8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11085211003</w:t>
            </w:r>
          </w:p>
        </w:tc>
        <w:tc>
          <w:tcPr>
            <w:tcW w:w="249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物联网技术</w:t>
            </w:r>
          </w:p>
        </w:tc>
        <w:tc>
          <w:tcPr>
            <w:tcW w:w="591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05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重庆北碚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考试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是</w:t>
            </w:r>
          </w:p>
        </w:tc>
        <w:tc>
          <w:tcPr>
            <w:tcW w:w="724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  <w:lang w:eastAsia="zh-CN"/>
              </w:rPr>
              <w:t>先导</w:t>
            </w:r>
            <w:r>
              <w:rPr>
                <w:rFonts w:hint="eastAsia"/>
                <w:szCs w:val="21"/>
              </w:rPr>
              <w:t>课程</w:t>
            </w:r>
          </w:p>
        </w:tc>
        <w:tc>
          <w:tcPr>
            <w:tcW w:w="8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11085299001</w:t>
            </w:r>
          </w:p>
        </w:tc>
        <w:tc>
          <w:tcPr>
            <w:tcW w:w="2496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基于Android的物联网应用开发及java基础</w:t>
            </w:r>
          </w:p>
        </w:tc>
        <w:tc>
          <w:tcPr>
            <w:tcW w:w="591" w:type="dxa"/>
            <w:vAlign w:val="center"/>
          </w:tcPr>
          <w:p>
            <w:pPr>
              <w:spacing w:line="400" w:lineRule="exact"/>
              <w:jc w:val="both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36</w:t>
            </w:r>
          </w:p>
        </w:tc>
        <w:tc>
          <w:tcPr>
            <w:tcW w:w="505" w:type="dxa"/>
            <w:vAlign w:val="center"/>
          </w:tcPr>
          <w:p>
            <w:pPr>
              <w:spacing w:line="400" w:lineRule="exact"/>
              <w:jc w:val="both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</w:rPr>
              <w:t>3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广东顺德工业设计研究院</w:t>
            </w: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考试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是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嵌入式系统工程师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11085299002</w:t>
            </w:r>
          </w:p>
        </w:tc>
        <w:tc>
          <w:tcPr>
            <w:tcW w:w="2496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基于STM32的控制应用</w:t>
            </w:r>
          </w:p>
        </w:tc>
        <w:tc>
          <w:tcPr>
            <w:tcW w:w="591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36</w:t>
            </w:r>
          </w:p>
        </w:tc>
        <w:tc>
          <w:tcPr>
            <w:tcW w:w="505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考试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是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11085299003</w:t>
            </w:r>
          </w:p>
        </w:tc>
        <w:tc>
          <w:tcPr>
            <w:tcW w:w="2496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智能家电硬件控制电路及传感器电路应用</w:t>
            </w:r>
          </w:p>
        </w:tc>
        <w:tc>
          <w:tcPr>
            <w:tcW w:w="591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36</w:t>
            </w:r>
          </w:p>
        </w:tc>
        <w:tc>
          <w:tcPr>
            <w:tcW w:w="505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考试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是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11085299004</w:t>
            </w:r>
          </w:p>
        </w:tc>
        <w:tc>
          <w:tcPr>
            <w:tcW w:w="2496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开发语言基础</w:t>
            </w:r>
          </w:p>
        </w:tc>
        <w:tc>
          <w:tcPr>
            <w:tcW w:w="591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36</w:t>
            </w:r>
          </w:p>
        </w:tc>
        <w:tc>
          <w:tcPr>
            <w:tcW w:w="505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考</w:t>
            </w:r>
            <w:r>
              <w:rPr>
                <w:rFonts w:hint="eastAsia" w:ascii="宋体" w:hAnsi="宋体"/>
                <w:color w:val="auto"/>
                <w:lang w:eastAsia="zh-CN"/>
              </w:rPr>
              <w:t>查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是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软件工程师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11085299005</w:t>
            </w:r>
          </w:p>
        </w:tc>
        <w:tc>
          <w:tcPr>
            <w:tcW w:w="2496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数据库实践</w:t>
            </w:r>
          </w:p>
        </w:tc>
        <w:tc>
          <w:tcPr>
            <w:tcW w:w="591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36</w:t>
            </w:r>
          </w:p>
        </w:tc>
        <w:tc>
          <w:tcPr>
            <w:tcW w:w="505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考</w:t>
            </w:r>
            <w:r>
              <w:rPr>
                <w:rFonts w:hint="eastAsia" w:ascii="宋体" w:hAnsi="宋体"/>
                <w:color w:val="auto"/>
                <w:lang w:eastAsia="zh-CN"/>
              </w:rPr>
              <w:t>查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是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11085299006</w:t>
            </w:r>
          </w:p>
        </w:tc>
        <w:tc>
          <w:tcPr>
            <w:tcW w:w="2496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前端设计与开发</w:t>
            </w:r>
          </w:p>
        </w:tc>
        <w:tc>
          <w:tcPr>
            <w:tcW w:w="591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36</w:t>
            </w:r>
          </w:p>
        </w:tc>
        <w:tc>
          <w:tcPr>
            <w:tcW w:w="505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考</w:t>
            </w:r>
            <w:r>
              <w:rPr>
                <w:rFonts w:hint="eastAsia" w:ascii="宋体" w:hAnsi="宋体"/>
                <w:color w:val="auto"/>
                <w:lang w:eastAsia="zh-CN"/>
              </w:rPr>
              <w:t>查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是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11085299007</w:t>
            </w:r>
          </w:p>
        </w:tc>
        <w:tc>
          <w:tcPr>
            <w:tcW w:w="2496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产品规划</w:t>
            </w:r>
          </w:p>
        </w:tc>
        <w:tc>
          <w:tcPr>
            <w:tcW w:w="591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36</w:t>
            </w:r>
          </w:p>
        </w:tc>
        <w:tc>
          <w:tcPr>
            <w:tcW w:w="505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考</w:t>
            </w:r>
            <w:r>
              <w:rPr>
                <w:rFonts w:hint="eastAsia" w:ascii="宋体" w:hAnsi="宋体"/>
                <w:color w:val="auto"/>
                <w:lang w:eastAsia="zh-CN"/>
              </w:rPr>
              <w:t>查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是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用户体验工程师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11085299008</w:t>
            </w:r>
          </w:p>
        </w:tc>
        <w:tc>
          <w:tcPr>
            <w:tcW w:w="2496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网站交互设计</w:t>
            </w:r>
          </w:p>
        </w:tc>
        <w:tc>
          <w:tcPr>
            <w:tcW w:w="591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36</w:t>
            </w:r>
          </w:p>
        </w:tc>
        <w:tc>
          <w:tcPr>
            <w:tcW w:w="505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考</w:t>
            </w:r>
            <w:r>
              <w:rPr>
                <w:rFonts w:hint="eastAsia" w:ascii="宋体" w:hAnsi="宋体"/>
                <w:color w:val="auto"/>
                <w:lang w:eastAsia="zh-CN"/>
              </w:rPr>
              <w:t>查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是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11085299009</w:t>
            </w:r>
          </w:p>
        </w:tc>
        <w:tc>
          <w:tcPr>
            <w:tcW w:w="2496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图形界面设计</w:t>
            </w:r>
          </w:p>
        </w:tc>
        <w:tc>
          <w:tcPr>
            <w:tcW w:w="591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36</w:t>
            </w:r>
          </w:p>
        </w:tc>
        <w:tc>
          <w:tcPr>
            <w:tcW w:w="505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考</w:t>
            </w:r>
            <w:r>
              <w:rPr>
                <w:rFonts w:hint="eastAsia" w:ascii="宋体" w:hAnsi="宋体"/>
                <w:color w:val="auto"/>
                <w:lang w:eastAsia="zh-CN"/>
              </w:rPr>
              <w:t>查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是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  <w:lang w:eastAsia="zh-CN"/>
              </w:rPr>
              <w:t>选修</w:t>
            </w:r>
            <w:r>
              <w:rPr>
                <w:rFonts w:hint="eastAsia"/>
                <w:szCs w:val="21"/>
              </w:rPr>
              <w:t>课程</w:t>
            </w:r>
          </w:p>
        </w:tc>
        <w:tc>
          <w:tcPr>
            <w:tcW w:w="8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11085299010</w:t>
            </w:r>
          </w:p>
        </w:tc>
        <w:tc>
          <w:tcPr>
            <w:tcW w:w="2496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智能家电的研发体系</w:t>
            </w:r>
          </w:p>
        </w:tc>
        <w:tc>
          <w:tcPr>
            <w:tcW w:w="591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36</w:t>
            </w:r>
          </w:p>
        </w:tc>
        <w:tc>
          <w:tcPr>
            <w:tcW w:w="505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考查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否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嵌入式系统工程师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11085299011</w:t>
            </w:r>
          </w:p>
        </w:tc>
        <w:tc>
          <w:tcPr>
            <w:tcW w:w="2496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基于Linux内核的Android驱动开发</w:t>
            </w:r>
          </w:p>
        </w:tc>
        <w:tc>
          <w:tcPr>
            <w:tcW w:w="591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18</w:t>
            </w:r>
          </w:p>
        </w:tc>
        <w:tc>
          <w:tcPr>
            <w:tcW w:w="505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考试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否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11085299012</w:t>
            </w:r>
          </w:p>
        </w:tc>
        <w:tc>
          <w:tcPr>
            <w:tcW w:w="2496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项目研发前沿技术讲座</w:t>
            </w:r>
          </w:p>
        </w:tc>
        <w:tc>
          <w:tcPr>
            <w:tcW w:w="591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18</w:t>
            </w:r>
          </w:p>
        </w:tc>
        <w:tc>
          <w:tcPr>
            <w:tcW w:w="505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考</w:t>
            </w:r>
            <w:r>
              <w:rPr>
                <w:rFonts w:hint="eastAsia"/>
                <w:color w:val="auto"/>
                <w:szCs w:val="21"/>
                <w:lang w:eastAsia="zh-CN"/>
              </w:rPr>
              <w:t>查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否</w:t>
            </w:r>
          </w:p>
        </w:tc>
        <w:tc>
          <w:tcPr>
            <w:tcW w:w="724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软件工程师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1108529901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6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IEC61131-3与PLCopen</w:t>
            </w:r>
          </w:p>
        </w:tc>
        <w:tc>
          <w:tcPr>
            <w:tcW w:w="591" w:type="dxa"/>
            <w:textDirection w:val="lrTb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36</w:t>
            </w:r>
          </w:p>
        </w:tc>
        <w:tc>
          <w:tcPr>
            <w:tcW w:w="505" w:type="dxa"/>
            <w:textDirection w:val="lrTb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64" w:type="dxa"/>
            <w:textDirection w:val="lrTb"/>
            <w:vAlign w:val="center"/>
          </w:tcPr>
          <w:p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19" w:type="dxa"/>
            <w:textDirection w:val="lrTb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广东顺德</w:t>
            </w:r>
          </w:p>
        </w:tc>
        <w:tc>
          <w:tcPr>
            <w:tcW w:w="764" w:type="dxa"/>
            <w:textDirection w:val="lrTb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考</w:t>
            </w:r>
            <w:r>
              <w:rPr>
                <w:rFonts w:hint="eastAsia"/>
                <w:color w:val="auto"/>
                <w:szCs w:val="21"/>
                <w:lang w:eastAsia="zh-CN"/>
              </w:rPr>
              <w:t>查</w:t>
            </w:r>
          </w:p>
        </w:tc>
        <w:tc>
          <w:tcPr>
            <w:tcW w:w="796" w:type="dxa"/>
            <w:textDirection w:val="lrTb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否</w:t>
            </w:r>
          </w:p>
        </w:tc>
        <w:tc>
          <w:tcPr>
            <w:tcW w:w="724" w:type="dxa"/>
            <w:textDirection w:val="lrTb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软件工程师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11085299013</w:t>
            </w:r>
          </w:p>
        </w:tc>
        <w:tc>
          <w:tcPr>
            <w:tcW w:w="2496" w:type="dxa"/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用户研究</w:t>
            </w:r>
          </w:p>
        </w:tc>
        <w:tc>
          <w:tcPr>
            <w:tcW w:w="591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36</w:t>
            </w:r>
          </w:p>
        </w:tc>
        <w:tc>
          <w:tcPr>
            <w:tcW w:w="505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考</w:t>
            </w:r>
            <w:r>
              <w:rPr>
                <w:rFonts w:hint="eastAsia" w:ascii="宋体" w:hAnsi="宋体"/>
                <w:color w:val="auto"/>
                <w:lang w:eastAsia="zh-CN"/>
              </w:rPr>
              <w:t>查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否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用户体验工程师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11085299014</w:t>
            </w:r>
          </w:p>
        </w:tc>
        <w:tc>
          <w:tcPr>
            <w:tcW w:w="2496" w:type="dxa"/>
            <w:vAlign w:val="center"/>
          </w:tcPr>
          <w:p>
            <w:pPr>
              <w:spacing w:before="100" w:beforeAutospacing="1" w:after="100" w:afterAutospacing="1" w:line="320" w:lineRule="atLeast"/>
              <w:jc w:val="both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前端设计前沿技术讲座</w:t>
            </w:r>
          </w:p>
        </w:tc>
        <w:tc>
          <w:tcPr>
            <w:tcW w:w="591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18</w:t>
            </w:r>
          </w:p>
        </w:tc>
        <w:tc>
          <w:tcPr>
            <w:tcW w:w="505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考</w:t>
            </w:r>
            <w:r>
              <w:rPr>
                <w:rFonts w:hint="eastAsia"/>
                <w:color w:val="auto"/>
                <w:szCs w:val="21"/>
                <w:lang w:eastAsia="zh-CN"/>
              </w:rPr>
              <w:t>查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否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培养</w:t>
            </w:r>
          </w:p>
          <w:p>
            <w:pPr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szCs w:val="21"/>
              </w:rPr>
              <w:t>环节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职业素养提升</w:t>
            </w:r>
          </w:p>
        </w:tc>
        <w:tc>
          <w:tcPr>
            <w:tcW w:w="5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</w:rPr>
              <w:t>/</w:t>
            </w:r>
          </w:p>
        </w:tc>
        <w:tc>
          <w:tcPr>
            <w:tcW w:w="505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</w:rPr>
              <w:t>/</w:t>
            </w:r>
          </w:p>
        </w:tc>
        <w:tc>
          <w:tcPr>
            <w:tcW w:w="79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</w:rPr>
              <w:t>/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开题报告</w:t>
            </w:r>
          </w:p>
        </w:tc>
        <w:tc>
          <w:tcPr>
            <w:tcW w:w="5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</w:rPr>
              <w:t>/</w:t>
            </w:r>
          </w:p>
        </w:tc>
        <w:tc>
          <w:tcPr>
            <w:tcW w:w="505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</w:rPr>
              <w:t>/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</w:rPr>
              <w:t>2</w:t>
            </w:r>
          </w:p>
        </w:tc>
        <w:tc>
          <w:tcPr>
            <w:tcW w:w="11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</w:rPr>
              <w:t>/</w:t>
            </w:r>
          </w:p>
        </w:tc>
        <w:tc>
          <w:tcPr>
            <w:tcW w:w="79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</w:rPr>
              <w:t>/</w:t>
            </w:r>
          </w:p>
        </w:tc>
        <w:tc>
          <w:tcPr>
            <w:tcW w:w="724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中期</w:t>
            </w:r>
            <w:r>
              <w:rPr>
                <w:szCs w:val="21"/>
              </w:rPr>
              <w:t>检查</w:t>
            </w:r>
          </w:p>
        </w:tc>
        <w:tc>
          <w:tcPr>
            <w:tcW w:w="5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</w:rPr>
              <w:t>/</w:t>
            </w:r>
          </w:p>
        </w:tc>
        <w:tc>
          <w:tcPr>
            <w:tcW w:w="505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</w:rPr>
              <w:t>/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</w:rPr>
              <w:t>3</w:t>
            </w:r>
          </w:p>
        </w:tc>
        <w:tc>
          <w:tcPr>
            <w:tcW w:w="11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</w:rPr>
              <w:t>/</w:t>
            </w:r>
          </w:p>
        </w:tc>
        <w:tc>
          <w:tcPr>
            <w:tcW w:w="79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</w:rPr>
              <w:t>/</w:t>
            </w:r>
          </w:p>
        </w:tc>
        <w:tc>
          <w:tcPr>
            <w:tcW w:w="724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szCs w:val="21"/>
              </w:rPr>
              <w:t>项目开发和企业实践</w:t>
            </w:r>
          </w:p>
        </w:tc>
        <w:tc>
          <w:tcPr>
            <w:tcW w:w="5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</w:rPr>
              <w:t>/</w:t>
            </w:r>
          </w:p>
        </w:tc>
        <w:tc>
          <w:tcPr>
            <w:tcW w:w="505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</w:rPr>
              <w:t>6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</w:rPr>
              <w:t>2-3</w:t>
            </w:r>
          </w:p>
        </w:tc>
        <w:tc>
          <w:tcPr>
            <w:tcW w:w="11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广东顺德</w:t>
            </w:r>
          </w:p>
        </w:tc>
        <w:tc>
          <w:tcPr>
            <w:tcW w:w="764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</w:rPr>
              <w:t>/</w:t>
            </w:r>
          </w:p>
        </w:tc>
        <w:tc>
          <w:tcPr>
            <w:tcW w:w="79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</w:rPr>
              <w:t>/</w:t>
            </w:r>
          </w:p>
        </w:tc>
        <w:tc>
          <w:tcPr>
            <w:tcW w:w="724" w:type="dxa"/>
            <w:vMerge w:val="continue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ascii="仿宋_GB2312" w:hAnsi="宋体" w:cs="宋体"/>
          <w:snapToGrid w:val="0"/>
          <w:kern w:val="0"/>
          <w:szCs w:val="21"/>
        </w:rPr>
      </w:pPr>
      <w:r>
        <w:rPr>
          <w:rFonts w:hint="eastAsia" w:ascii="仿宋_GB2312" w:hAnsi="宋体" w:cs="宋体"/>
          <w:snapToGrid w:val="0"/>
          <w:kern w:val="0"/>
          <w:szCs w:val="21"/>
        </w:rPr>
        <w:t xml:space="preserve">    备注：学位课为必修课程，非学位课为选修课程。</w:t>
      </w:r>
      <w:r>
        <w:rPr>
          <w:rFonts w:ascii="仿宋_GB2312" w:hAnsi="宋体" w:cs="宋体"/>
          <w:snapToGrid w:val="0"/>
          <w:kern w:val="0"/>
          <w:szCs w:val="21"/>
        </w:rPr>
        <w:t>理论课课时按1学分/18学时计算，实验实践类课程的课时按1学分/30学时计算</w:t>
      </w:r>
    </w:p>
    <w:p>
      <w:pPr>
        <w:rPr>
          <w:rFonts w:hint="eastAsia" w:ascii="仿宋_GB2312" w:hAnsi="宋体" w:cs="宋体"/>
          <w:snapToGrid w:val="0"/>
          <w:kern w:val="0"/>
          <w:szCs w:val="21"/>
        </w:rPr>
      </w:pPr>
    </w:p>
    <w:p>
      <w:pPr>
        <w:spacing w:beforeLines="50" w:afterLines="50"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四、培养方法</w:t>
      </w:r>
    </w:p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实行“理论学习+企业实践”的双课堂教学形式，课程内容与职业需求对接、教学过程与生产实际结合，采取项目教学化、教学项目化的项目导入教学方式开展专业学位研究生培养。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spacing w:line="400" w:lineRule="exac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 采用双导师负责制，由西南大学校内导师和广东顺德创新设计研究院校外导师组成。</w:t>
      </w:r>
    </w:p>
    <w:p>
      <w:pPr>
        <w:spacing w:line="400" w:lineRule="exact"/>
        <w:ind w:firstLine="56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2. </w:t>
      </w:r>
      <w:r>
        <w:rPr>
          <w:rFonts w:hint="eastAsia" w:ascii="仿宋_GB2312" w:hAnsi="宋体" w:eastAsia="仿宋_GB2312"/>
          <w:sz w:val="28"/>
          <w:szCs w:val="28"/>
        </w:rPr>
        <w:t>聘请具有丰富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理论和</w:t>
      </w:r>
      <w:r>
        <w:rPr>
          <w:rFonts w:hint="eastAsia" w:ascii="仿宋_GB2312" w:hAnsi="宋体" w:eastAsia="仿宋_GB2312"/>
          <w:sz w:val="28"/>
          <w:szCs w:val="28"/>
        </w:rPr>
        <w:t>实践教学指导经验的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校内外行业专家</w:t>
      </w:r>
      <w:r>
        <w:rPr>
          <w:rFonts w:hint="eastAsia" w:ascii="仿宋_GB2312" w:hAnsi="宋体" w:eastAsia="仿宋_GB2312"/>
          <w:sz w:val="28"/>
          <w:szCs w:val="28"/>
        </w:rPr>
        <w:t>参与课程教学。</w:t>
      </w:r>
    </w:p>
    <w:p>
      <w:pPr>
        <w:spacing w:line="400" w:lineRule="exact"/>
        <w:rPr>
          <w:rFonts w:hint="eastAsia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. 采取0.5+1+0.5年的分段学习方式，学生入学后第一学期在西南大学完成公共基础课程学习，第二、三学期在广东顺德创新设计研究院完成职业素养教育、项目开发和实践，最后一个学期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在</w:t>
      </w:r>
      <w:r>
        <w:rPr>
          <w:rFonts w:hint="eastAsia" w:ascii="仿宋_GB2312" w:hAnsi="宋体" w:eastAsia="仿宋_GB2312"/>
          <w:sz w:val="28"/>
          <w:szCs w:val="28"/>
        </w:rPr>
        <w:t xml:space="preserve">西南大学完成毕业论文（设计）并参加答辩。   </w:t>
      </w:r>
    </w:p>
    <w:p>
      <w:pPr>
        <w:spacing w:beforeLines="50" w:afterLines="50"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五、学位（毕业）论文与论文答辩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1. </w:t>
      </w:r>
      <w:r>
        <w:rPr>
          <w:rFonts w:hint="eastAsia" w:ascii="仿宋_GB2312" w:hAnsi="宋体" w:eastAsia="仿宋_GB2312"/>
          <w:sz w:val="28"/>
          <w:szCs w:val="28"/>
        </w:rPr>
        <w:t>要求研究生深入到企业，在校内外导师指导下独立或协作完成一个智能产业的项目，论文选题来源于项目研制与开发，可以是产品设计与研究、技术研究或技术改造方案研究等内容。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2. 学生</w:t>
      </w:r>
      <w:r>
        <w:rPr>
          <w:rFonts w:hint="eastAsia" w:ascii="仿宋_GB2312" w:hAnsi="宋体" w:eastAsia="仿宋_GB2312"/>
          <w:sz w:val="28"/>
          <w:szCs w:val="28"/>
        </w:rPr>
        <w:t>必须完成培养方案中规定的所有环节，成绩合格，方可申请参加学位论文答辩。</w:t>
      </w:r>
    </w:p>
    <w:p>
      <w:pPr>
        <w:spacing w:line="400" w:lineRule="exact"/>
        <w:ind w:firstLine="56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3. </w:t>
      </w:r>
      <w:r>
        <w:rPr>
          <w:rFonts w:hint="eastAsia" w:ascii="仿宋_GB2312" w:hAnsi="宋体" w:eastAsia="仿宋_GB2312"/>
          <w:sz w:val="28"/>
          <w:szCs w:val="28"/>
        </w:rPr>
        <w:t>学位论文至少应有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名具有副高以上专业技术职称的专家评阅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。</w:t>
      </w:r>
    </w:p>
    <w:p>
      <w:pPr>
        <w:spacing w:line="400" w:lineRule="exac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4. </w:t>
      </w:r>
      <w:r>
        <w:rPr>
          <w:rFonts w:hint="eastAsia" w:ascii="仿宋_GB2312" w:hAnsi="宋体" w:eastAsia="仿宋_GB2312"/>
          <w:sz w:val="28"/>
          <w:szCs w:val="28"/>
        </w:rPr>
        <w:t>答辩委员会应由3～5位具有副高以上专业技术职称的专家组成。</w:t>
      </w:r>
    </w:p>
    <w:p>
      <w:pPr>
        <w:spacing w:line="400" w:lineRule="exac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5. </w:t>
      </w:r>
      <w:r>
        <w:rPr>
          <w:rFonts w:hint="eastAsia" w:ascii="仿宋_GB2312" w:hAnsi="宋体" w:eastAsia="仿宋_GB2312"/>
          <w:sz w:val="28"/>
          <w:szCs w:val="28"/>
        </w:rPr>
        <w:t>评阅人和答辩委员会成员中应含广东顺德工业设计院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或</w:t>
      </w:r>
      <w:r>
        <w:rPr>
          <w:rFonts w:hint="eastAsia" w:ascii="仿宋_GB2312" w:hAnsi="宋体" w:eastAsia="仿宋_GB2312"/>
          <w:sz w:val="28"/>
          <w:szCs w:val="28"/>
        </w:rPr>
        <w:t>企业方至少一名专家参加。</w:t>
      </w:r>
    </w:p>
    <w:p>
      <w:pPr>
        <w:spacing w:line="400" w:lineRule="exac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6. 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学生</w:t>
      </w:r>
      <w:r>
        <w:rPr>
          <w:rFonts w:hint="eastAsia" w:ascii="仿宋_GB2312" w:hAnsi="宋体" w:eastAsia="仿宋_GB2312"/>
          <w:sz w:val="28"/>
          <w:szCs w:val="28"/>
        </w:rPr>
        <w:t>的指导教师不参与其本人的论文评阅与论文答辩，论文评阅人不得兼任答辩委员会成员。</w:t>
      </w:r>
    </w:p>
    <w:p>
      <w:pPr>
        <w:spacing w:line="400" w:lineRule="exac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7. </w:t>
      </w:r>
      <w:r>
        <w:rPr>
          <w:rFonts w:hint="eastAsia" w:ascii="仿宋_GB2312" w:hAnsi="宋体" w:eastAsia="仿宋_GB2312"/>
          <w:sz w:val="28"/>
          <w:szCs w:val="28"/>
        </w:rPr>
        <w:t>论文答辩等工作按《西南大学学位授予工作实施细则》执行。</w:t>
      </w:r>
    </w:p>
    <w:p>
      <w:pPr>
        <w:spacing w:beforeLines="50" w:afterLines="50"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六、毕业与学位授予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在规定年限内，完成培养方案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要求的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课程和必修环节，成绩合格，获得相应学分，完成学位论文并通过答辩，经西南大学校学位评定委员会审核批准，授予工程硕士专业学位，颁发毕业证书和学位证书，同时颁发广东创新设计研究院结业证书。</w:t>
      </w:r>
    </w:p>
    <w:p>
      <w:pPr>
        <w:spacing w:beforeLines="50" w:afterLines="50"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七．其他</w:t>
      </w:r>
    </w:p>
    <w:p>
      <w:pPr>
        <w:spacing w:line="400" w:lineRule="exact"/>
        <w:ind w:firstLine="560"/>
        <w:rPr>
          <w:rFonts w:hint="eastAsia"/>
          <w:sz w:val="10"/>
          <w:szCs w:val="10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全日制硕士</w:t>
      </w:r>
      <w:r>
        <w:rPr>
          <w:rFonts w:hint="eastAsia" w:ascii="仿宋_GB2312" w:eastAsia="仿宋_GB2312"/>
          <w:sz w:val="28"/>
          <w:szCs w:val="28"/>
        </w:rPr>
        <w:t>研究生按国家毕业生就业政策办理就业与派遣手续</w:t>
      </w:r>
      <w:r>
        <w:rPr>
          <w:rFonts w:hint="eastAsia" w:ascii="仿宋_GB2312" w:eastAsia="仿宋_GB2312"/>
          <w:sz w:val="28"/>
          <w:szCs w:val="28"/>
          <w:lang w:eastAsia="zh-CN"/>
        </w:rPr>
        <w:t>，学校为其提供相应服务。</w:t>
      </w:r>
    </w:p>
    <w:sectPr>
      <w:headerReference r:id="rId3" w:type="default"/>
      <w:footerReference r:id="rId4" w:type="default"/>
      <w:pgSz w:w="11906" w:h="16838"/>
      <w:pgMar w:top="1247" w:right="1418" w:bottom="1247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ntique Olive Compact">
    <w:altName w:val="Tahoma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汉仪大黑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Style w:val="14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53D16"/>
    <w:rsid w:val="00170FE4"/>
    <w:rsid w:val="00256077"/>
    <w:rsid w:val="00387704"/>
    <w:rsid w:val="004877CA"/>
    <w:rsid w:val="007807F8"/>
    <w:rsid w:val="00805E47"/>
    <w:rsid w:val="008D4047"/>
    <w:rsid w:val="00911117"/>
    <w:rsid w:val="0098344A"/>
    <w:rsid w:val="00992AF1"/>
    <w:rsid w:val="00AA1833"/>
    <w:rsid w:val="00AB20D9"/>
    <w:rsid w:val="00AE6DD6"/>
    <w:rsid w:val="00B079A5"/>
    <w:rsid w:val="00CA5307"/>
    <w:rsid w:val="00D7107C"/>
    <w:rsid w:val="00F11E7C"/>
    <w:rsid w:val="00F528D5"/>
    <w:rsid w:val="00FD1243"/>
    <w:rsid w:val="00FF3627"/>
    <w:rsid w:val="0183728A"/>
    <w:rsid w:val="02042BA6"/>
    <w:rsid w:val="03390717"/>
    <w:rsid w:val="038B4479"/>
    <w:rsid w:val="03D53D8E"/>
    <w:rsid w:val="04664A43"/>
    <w:rsid w:val="049C2D1F"/>
    <w:rsid w:val="052151E6"/>
    <w:rsid w:val="0623601E"/>
    <w:rsid w:val="062D43AF"/>
    <w:rsid w:val="06646A88"/>
    <w:rsid w:val="06C82A82"/>
    <w:rsid w:val="09A15A82"/>
    <w:rsid w:val="0BE74F15"/>
    <w:rsid w:val="0C075B5D"/>
    <w:rsid w:val="0DA92D55"/>
    <w:rsid w:val="0E937FF7"/>
    <w:rsid w:val="14A12FCB"/>
    <w:rsid w:val="15D241DC"/>
    <w:rsid w:val="164E6403"/>
    <w:rsid w:val="17B95859"/>
    <w:rsid w:val="187212AC"/>
    <w:rsid w:val="18AE4324"/>
    <w:rsid w:val="19AD57B1"/>
    <w:rsid w:val="19C0520D"/>
    <w:rsid w:val="1B956B84"/>
    <w:rsid w:val="1BC23B97"/>
    <w:rsid w:val="1C0B4577"/>
    <w:rsid w:val="1C4508ED"/>
    <w:rsid w:val="1D804DF1"/>
    <w:rsid w:val="1DFB2E1A"/>
    <w:rsid w:val="1EC771A3"/>
    <w:rsid w:val="204001F8"/>
    <w:rsid w:val="237F238B"/>
    <w:rsid w:val="238554BE"/>
    <w:rsid w:val="25352007"/>
    <w:rsid w:val="253C3965"/>
    <w:rsid w:val="256E2074"/>
    <w:rsid w:val="25701679"/>
    <w:rsid w:val="25862742"/>
    <w:rsid w:val="26D32C40"/>
    <w:rsid w:val="2773190E"/>
    <w:rsid w:val="278D309A"/>
    <w:rsid w:val="289B4EC7"/>
    <w:rsid w:val="29626E0F"/>
    <w:rsid w:val="2B5B6AFC"/>
    <w:rsid w:val="2EEC3E3F"/>
    <w:rsid w:val="317D37F9"/>
    <w:rsid w:val="33B21142"/>
    <w:rsid w:val="3424001A"/>
    <w:rsid w:val="347A0A28"/>
    <w:rsid w:val="3561069A"/>
    <w:rsid w:val="356F5371"/>
    <w:rsid w:val="362A45D3"/>
    <w:rsid w:val="36366780"/>
    <w:rsid w:val="37055B53"/>
    <w:rsid w:val="378772C5"/>
    <w:rsid w:val="3860038E"/>
    <w:rsid w:val="399E3588"/>
    <w:rsid w:val="3A881DD5"/>
    <w:rsid w:val="3AA316EA"/>
    <w:rsid w:val="3C1C362D"/>
    <w:rsid w:val="3CD42DDC"/>
    <w:rsid w:val="3D3F362A"/>
    <w:rsid w:val="3D9247D3"/>
    <w:rsid w:val="3E0F3A5D"/>
    <w:rsid w:val="3E204DD1"/>
    <w:rsid w:val="3F3E2E38"/>
    <w:rsid w:val="3F4A37E5"/>
    <w:rsid w:val="3F5D7328"/>
    <w:rsid w:val="40022F93"/>
    <w:rsid w:val="401315DD"/>
    <w:rsid w:val="405C0815"/>
    <w:rsid w:val="41331F30"/>
    <w:rsid w:val="416B4C18"/>
    <w:rsid w:val="41BE1744"/>
    <w:rsid w:val="42014C57"/>
    <w:rsid w:val="42927F9D"/>
    <w:rsid w:val="446012BE"/>
    <w:rsid w:val="44AC58B3"/>
    <w:rsid w:val="44AE4363"/>
    <w:rsid w:val="47C00B59"/>
    <w:rsid w:val="47E21158"/>
    <w:rsid w:val="49207F58"/>
    <w:rsid w:val="49C8333D"/>
    <w:rsid w:val="4B885411"/>
    <w:rsid w:val="4BB61845"/>
    <w:rsid w:val="4C98776A"/>
    <w:rsid w:val="4CAF1A5D"/>
    <w:rsid w:val="4E566916"/>
    <w:rsid w:val="4F8C69BC"/>
    <w:rsid w:val="4FA871BC"/>
    <w:rsid w:val="50095F5C"/>
    <w:rsid w:val="501C7EE8"/>
    <w:rsid w:val="507C68B9"/>
    <w:rsid w:val="5171490B"/>
    <w:rsid w:val="52073823"/>
    <w:rsid w:val="53DE4FF6"/>
    <w:rsid w:val="549D6CE0"/>
    <w:rsid w:val="552B1DC7"/>
    <w:rsid w:val="567B6271"/>
    <w:rsid w:val="57673F28"/>
    <w:rsid w:val="5A1312AD"/>
    <w:rsid w:val="5A153559"/>
    <w:rsid w:val="5AC445F6"/>
    <w:rsid w:val="5BB3647D"/>
    <w:rsid w:val="5BDF059F"/>
    <w:rsid w:val="5BFE74AE"/>
    <w:rsid w:val="5C54188A"/>
    <w:rsid w:val="5C781A33"/>
    <w:rsid w:val="5DDA27C8"/>
    <w:rsid w:val="5E0C0BAB"/>
    <w:rsid w:val="5F2E3CDA"/>
    <w:rsid w:val="5FCB3FA5"/>
    <w:rsid w:val="601C2B39"/>
    <w:rsid w:val="606206FD"/>
    <w:rsid w:val="60912421"/>
    <w:rsid w:val="62D1432C"/>
    <w:rsid w:val="62D31397"/>
    <w:rsid w:val="64075DC8"/>
    <w:rsid w:val="647A1DB4"/>
    <w:rsid w:val="65594F0C"/>
    <w:rsid w:val="66336E41"/>
    <w:rsid w:val="676550B0"/>
    <w:rsid w:val="68762A61"/>
    <w:rsid w:val="691177F0"/>
    <w:rsid w:val="69FB3DEF"/>
    <w:rsid w:val="6B3602F4"/>
    <w:rsid w:val="6C61147E"/>
    <w:rsid w:val="6C880DF9"/>
    <w:rsid w:val="6F285C6B"/>
    <w:rsid w:val="6F363D54"/>
    <w:rsid w:val="6F82254C"/>
    <w:rsid w:val="6F8A028E"/>
    <w:rsid w:val="701B100D"/>
    <w:rsid w:val="723063ED"/>
    <w:rsid w:val="726141B3"/>
    <w:rsid w:val="73C70602"/>
    <w:rsid w:val="74C0081A"/>
    <w:rsid w:val="76072D30"/>
    <w:rsid w:val="76811222"/>
    <w:rsid w:val="774953A4"/>
    <w:rsid w:val="79F80A27"/>
    <w:rsid w:val="79F82231"/>
    <w:rsid w:val="7A0A2E4F"/>
    <w:rsid w:val="7DF65D77"/>
    <w:rsid w:val="7E35461F"/>
    <w:rsid w:val="7EC23E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500" w:lineRule="atLeast"/>
      <w:ind w:firstLine="460"/>
      <w:jc w:val="center"/>
      <w:outlineLvl w:val="0"/>
    </w:pPr>
    <w:rPr>
      <w:b/>
      <w:bCs/>
      <w:sz w:val="37"/>
    </w:rPr>
  </w:style>
  <w:style w:type="paragraph" w:styleId="3">
    <w:name w:val="heading 2"/>
    <w:basedOn w:val="1"/>
    <w:next w:val="4"/>
    <w:qFormat/>
    <w:uiPriority w:val="0"/>
    <w:pPr>
      <w:keepNext/>
      <w:outlineLvl w:val="1"/>
    </w:pPr>
    <w:rPr>
      <w:rFonts w:eastAsia="Arial Unicode MS"/>
      <w:i/>
      <w:sz w:val="24"/>
      <w:szCs w:val="20"/>
    </w:rPr>
  </w:style>
  <w:style w:type="character" w:default="1" w:styleId="13">
    <w:name w:val="Default Paragraph Font"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qFormat/>
    <w:uiPriority w:val="0"/>
    <w:rPr>
      <w:i/>
      <w:spacing w:val="20"/>
      <w:szCs w:val="20"/>
    </w:rPr>
  </w:style>
  <w:style w:type="paragraph" w:styleId="6">
    <w:name w:val="Body Text Indent"/>
    <w:basedOn w:val="1"/>
    <w:qFormat/>
    <w:uiPriority w:val="0"/>
    <w:pPr>
      <w:spacing w:line="500" w:lineRule="atLeast"/>
      <w:ind w:firstLine="460"/>
    </w:pPr>
    <w:rPr>
      <w:rFonts w:eastAsia="楷体_GB2312"/>
      <w:sz w:val="23"/>
    </w:rPr>
  </w:style>
  <w:style w:type="paragraph" w:styleId="7">
    <w:name w:val="Date"/>
    <w:basedOn w:val="1"/>
    <w:next w:val="1"/>
    <w:qFormat/>
    <w:uiPriority w:val="0"/>
    <w:pPr>
      <w:widowControl/>
      <w:jc w:val="left"/>
    </w:pPr>
    <w:rPr>
      <w:kern w:val="0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1"/>
    <w:qFormat/>
    <w:uiPriority w:val="0"/>
    <w:pPr>
      <w:ind w:firstLine="420"/>
    </w:p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4">
    <w:name w:val="page number"/>
    <w:basedOn w:val="13"/>
    <w:qFormat/>
    <w:uiPriority w:val="0"/>
  </w:style>
  <w:style w:type="character" w:styleId="15">
    <w:name w:val="FollowedHyperlink"/>
    <w:qFormat/>
    <w:uiPriority w:val="0"/>
    <w:rPr>
      <w:color w:val="023266"/>
      <w:u w:val="none"/>
    </w:rPr>
  </w:style>
  <w:style w:type="character" w:styleId="16">
    <w:name w:val="Hyperlink"/>
    <w:qFormat/>
    <w:uiPriority w:val="0"/>
    <w:rPr>
      <w:color w:val="023266"/>
      <w:u w:val="none"/>
    </w:rPr>
  </w:style>
  <w:style w:type="paragraph" w:customStyle="1" w:styleId="18">
    <w:name w:val="一级标题"/>
    <w:basedOn w:val="1"/>
    <w:next w:val="9"/>
    <w:qFormat/>
    <w:uiPriority w:val="0"/>
    <w:pPr>
      <w:keepNext/>
      <w:outlineLvl w:val="0"/>
    </w:pPr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368</Words>
  <Characters>2101</Characters>
  <Lines>17</Lines>
  <Paragraphs>4</Paragraphs>
  <ScaleCrop>false</ScaleCrop>
  <LinksUpToDate>false</LinksUpToDate>
  <CharactersWithSpaces>2465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2016-09-12T02:24:00Z</dcterms:created>
  <dc:creator>sc</dc:creator>
  <cp:lastModifiedBy>陈洋</cp:lastModifiedBy>
  <cp:lastPrinted>2006-06-29T00:30:00Z</cp:lastPrinted>
  <dcterms:modified xsi:type="dcterms:W3CDTF">2016-09-29T00:36:46Z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